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Памятка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bookmarkStart w:id="0" w:name="_GoBack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об особенностях расчета средств пенсионных накоплений,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по заявлениям о переходе и досрочном переходе, поданным в 201</w:t>
      </w:r>
      <w:r w:rsidR="00B4565A">
        <w:rPr>
          <w:rFonts w:eastAsiaTheme="minorHAnsi"/>
          <w:b/>
          <w:color w:val="002060"/>
          <w:sz w:val="28"/>
          <w:szCs w:val="28"/>
          <w:lang w:eastAsia="en-US"/>
        </w:rPr>
        <w:t>9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</w:t>
      </w:r>
    </w:p>
    <w:bookmarkEnd w:id="0"/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2048"/>
      </w:tblGrid>
      <w:tr w:rsidR="00327AC2" w:rsidTr="00CC17F9">
        <w:tc>
          <w:tcPr>
            <w:tcW w:w="1844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E205C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застрахованным лицом у текущего страховщика 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268" w:type="dxa"/>
          </w:tcPr>
          <w:p w:rsidR="00327AC2" w:rsidRPr="001F14F3" w:rsidRDefault="00327AC2" w:rsidP="00230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</w:p>
        </w:tc>
        <w:tc>
          <w:tcPr>
            <w:tcW w:w="12048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</w:t>
            </w:r>
            <w:r w:rsidR="00D0209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327AC2" w:rsidRDefault="00327AC2" w:rsidP="00D02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 w:rsidR="00D02099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9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327AC2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2011 и ранее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2016-201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и СПН, поступившие в 2016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-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без инвестиционного дохода 2016 - 201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</w:p>
          <w:p w:rsidR="00327AC2" w:rsidRPr="00327AC2" w:rsidRDefault="00327AC2" w:rsidP="00C5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за 2016 –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 новому страховщику в 20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и СПН, поступившие в 2016 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9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годах с учетом полученного в 2016 – 201</w:t>
            </w:r>
            <w:r w:rsidR="00C5629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убытка от инвестирования без гарантийного восполнения 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327AC2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D61A75" w:rsidRDefault="00D61A75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2016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2017 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включающая фактически сформированные СПН без инвестиционного дохода 2017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  <w:proofErr w:type="gramEnd"/>
          </w:p>
          <w:p w:rsidR="00327AC2" w:rsidRPr="00327AC2" w:rsidRDefault="00327AC2" w:rsidP="00A25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2017 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 СПН, отраженная в год первой пятилетней фиксации,  и СПН, поступившие в 2017 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полученного в 2017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772A8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2013</w:t>
            </w:r>
          </w:p>
          <w:p w:rsidR="005963FB" w:rsidRPr="00327AC2" w:rsidRDefault="005963FB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2019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новому 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включающая фактически сформированные СПН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без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инвестиционн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2019 </w:t>
            </w:r>
            <w:r w:rsidR="004C3AF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ов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  <w:proofErr w:type="gramEnd"/>
          </w:p>
          <w:p w:rsidR="00327AC2" w:rsidRPr="00327AC2" w:rsidRDefault="00327AC2" w:rsidP="00A25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2018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2019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новому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страховщику в 20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фактически сформированная сумма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, отраженная в год первой пятилетней фиксации, и СПН, поступившие в 2018 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– 2019 </w:t>
            </w:r>
            <w:r w:rsidR="004A417B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2018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2019 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A25F47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</w:t>
            </w:r>
            <w:r w:rsidR="009A4DAE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рования без гарантийного восполнения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P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2014</w:t>
            </w:r>
          </w:p>
          <w:p w:rsidR="00F63B01" w:rsidRPr="009A4DAE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P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F63B01" w:rsidRPr="009A4DAE" w:rsidRDefault="00F63B01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</w:tcPr>
          <w:p w:rsidR="00F63B01" w:rsidRPr="00CC17F9" w:rsidRDefault="00F63B01" w:rsidP="00CC17F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08" w:firstLine="283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положительного результата 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нвестирования в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а сумма СПН, отраженная в год первой пятилетней фиксации, включающая 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фактически сформированные СПН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без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ого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доход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9A4DAE" w:rsidRDefault="00CC17F9" w:rsidP="00A14752">
            <w:pPr>
              <w:pStyle w:val="a6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отрицательного результата инвестирования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в  201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е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т передан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фактически сформированн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ая сумма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СПН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, отраженная в год первой пятилетней фиксации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 учетом 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полученного в 2019 году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инвестиционного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</w:t>
            </w:r>
            <w:r w:rsid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без гарантийного восполнения</w:t>
            </w:r>
            <w:r w:rsidRP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</w:tc>
      </w:tr>
      <w:tr w:rsidR="00CC17F9" w:rsidRPr="001F14F3" w:rsidTr="00CC17F9">
        <w:trPr>
          <w:trHeight w:val="1895"/>
        </w:trPr>
        <w:tc>
          <w:tcPr>
            <w:tcW w:w="1844" w:type="dxa"/>
          </w:tcPr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P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CC17F9" w:rsidRDefault="00CC17F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</w:p>
          <w:p w:rsidR="00A14752" w:rsidRPr="00CC17F9" w:rsidRDefault="00A1475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</w:p>
        </w:tc>
        <w:tc>
          <w:tcPr>
            <w:tcW w:w="2268" w:type="dxa"/>
          </w:tcPr>
          <w:p w:rsidR="00CC17F9" w:rsidRPr="00CC17F9" w:rsidRDefault="00CC17F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CC17F9" w:rsidRPr="00CC17F9" w:rsidRDefault="00CC17F9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CC17F9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  <w:r w:rsidRP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A14752" w:rsidRPr="00A14752" w:rsidRDefault="00A14752" w:rsidP="00394C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В случае положительного результата инвестирования в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5 - 2019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будет передана сумма СПН, отраженная в год первой пятилетней фиксации, включающая фактически сформированные СПН и инвестиционный доход 2015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годов.</w:t>
            </w:r>
            <w:proofErr w:type="gramEnd"/>
          </w:p>
          <w:p w:rsidR="00CC17F9" w:rsidRPr="009A4DAE" w:rsidRDefault="00A14752" w:rsidP="00394C74">
            <w:pPr>
              <w:pStyle w:val="a6"/>
              <w:autoSpaceDE w:val="0"/>
              <w:autoSpaceDN w:val="0"/>
              <w:adjustRightInd w:val="0"/>
              <w:ind w:left="0" w:firstLine="394"/>
              <w:jc w:val="center"/>
              <w:rPr>
                <w:rFonts w:eastAsiaTheme="minorHAnsi"/>
                <w:b/>
                <w:i/>
                <w:color w:val="002060"/>
                <w:sz w:val="28"/>
                <w:szCs w:val="28"/>
                <w:lang w:eastAsia="en-US"/>
              </w:rPr>
            </w:pP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2015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9 годах новому страховщику в 2020 </w:t>
            </w:r>
            <w:r w:rsidRPr="00A1475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году 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268" w:type="dxa"/>
          </w:tcPr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2016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годы.</w:t>
            </w:r>
          </w:p>
          <w:p w:rsidR="00327AC2" w:rsidRPr="00327AC2" w:rsidRDefault="00327AC2" w:rsidP="0039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2016 - 201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2016 - 201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годах убытка от инвестирования без гарантийного восполнения.</w:t>
            </w:r>
          </w:p>
        </w:tc>
      </w:tr>
      <w:tr w:rsidR="00327AC2" w:rsidRPr="001F14F3" w:rsidTr="00CC17F9">
        <w:tc>
          <w:tcPr>
            <w:tcW w:w="1844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8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1) В случае положительного результата инвестирования в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2017 -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2017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9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327AC2" w:rsidRPr="00327AC2" w:rsidRDefault="00327AC2" w:rsidP="0039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в 2017 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</w:t>
            </w:r>
            <w:r w:rsidR="00CC17F9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полученного в 2017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– 201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6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F63B01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F63B01" w:rsidRPr="001F14F3" w:rsidTr="00CC17F9">
        <w:tc>
          <w:tcPr>
            <w:tcW w:w="1844" w:type="dxa"/>
          </w:tcPr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F63B01" w:rsidRDefault="00F63B01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268" w:type="dxa"/>
          </w:tcPr>
          <w:p w:rsidR="00F63B01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F63B01" w:rsidRDefault="00F63B01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F63B01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2022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F63B01" w:rsidRPr="00327AC2" w:rsidRDefault="00F63B01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без инвестиционного дохода за 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ы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.</w:t>
            </w:r>
          </w:p>
          <w:p w:rsidR="00F63B01" w:rsidRPr="00327AC2" w:rsidRDefault="00F63B01" w:rsidP="00394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- 2019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 новом страховщику в 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году будут переданы фактически сформированные СПН с учетом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полученного в 201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8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- 2019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</w:t>
            </w:r>
            <w:r w:rsidR="00394C74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ах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  <w:tr w:rsidR="00394C74" w:rsidRPr="001F14F3" w:rsidTr="00CC17F9">
        <w:tc>
          <w:tcPr>
            <w:tcW w:w="1844" w:type="dxa"/>
          </w:tcPr>
          <w:p w:rsidR="001A2CEF" w:rsidRDefault="001A2CEF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94C74" w:rsidRDefault="00394C74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68" w:type="dxa"/>
          </w:tcPr>
          <w:p w:rsidR="00394C74" w:rsidRDefault="00394C74" w:rsidP="00F63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на 31 декабря </w:t>
            </w:r>
            <w:r w:rsidRPr="001A2CEF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2023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2048" w:type="dxa"/>
          </w:tcPr>
          <w:p w:rsidR="001A2CEF" w:rsidRPr="001A2CEF" w:rsidRDefault="001A2CEF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2019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новому страховщику в 2020 году будут переданы фактически сформированные СПН без инвестиционного дохода за   2019 год.</w:t>
            </w:r>
          </w:p>
          <w:p w:rsidR="00394C74" w:rsidRPr="00327AC2" w:rsidRDefault="001A2CEF" w:rsidP="001A2C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2019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у 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новом страховщику в 2020 году будут переданы фактически сформированные СПН с учетом полученного в  2019 год</w:t>
            </w:r>
            <w:r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у</w:t>
            </w:r>
            <w:r w:rsidRPr="001A2CEF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убытка от инвестирования без гарантийного восполнения.</w:t>
            </w:r>
          </w:p>
        </w:tc>
      </w:tr>
    </w:tbl>
    <w:p w:rsidR="00327AC2" w:rsidRDefault="00327AC2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E205C4" w:rsidRDefault="001F14F3" w:rsidP="00E205C4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lang w:eastAsia="en-US"/>
        </w:rPr>
      </w:pPr>
      <w:r w:rsidRPr="00E205C4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E205C4">
        <w:rPr>
          <w:rFonts w:eastAsiaTheme="minorHAnsi"/>
          <w:b/>
          <w:color w:val="002060"/>
          <w:lang w:eastAsia="en-US"/>
        </w:rPr>
        <w:t xml:space="preserve"> (фиксация)</w:t>
      </w:r>
      <w:r w:rsidRPr="00E205C4">
        <w:rPr>
          <w:rFonts w:eastAsiaTheme="minorHAnsi"/>
          <w:b/>
          <w:color w:val="002060"/>
          <w:lang w:eastAsia="en-US"/>
        </w:rPr>
        <w:t xml:space="preserve"> </w:t>
      </w:r>
      <w:r w:rsidR="00200859" w:rsidRPr="00E205C4">
        <w:rPr>
          <w:rFonts w:eastAsiaTheme="minorHAnsi"/>
          <w:b/>
          <w:color w:val="002060"/>
          <w:lang w:eastAsia="en-US"/>
        </w:rPr>
        <w:t>осуществляе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тся текущим страховщиком каждые </w:t>
      </w:r>
      <w:r w:rsidR="00200859" w:rsidRPr="00E205C4">
        <w:rPr>
          <w:rFonts w:eastAsiaTheme="minorHAnsi"/>
          <w:b/>
          <w:color w:val="002060"/>
          <w:lang w:eastAsia="en-US"/>
        </w:rPr>
        <w:t>последующие пять лет.</w:t>
      </w:r>
      <w:r w:rsidR="00327AC2" w:rsidRPr="00E205C4">
        <w:rPr>
          <w:rFonts w:eastAsiaTheme="minorHAnsi"/>
          <w:b/>
          <w:color w:val="002060"/>
          <w:lang w:eastAsia="en-US"/>
        </w:rPr>
        <w:t xml:space="preserve"> 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Год фиксации </w:t>
      </w:r>
      <w:r w:rsidR="00327AC2" w:rsidRPr="00E205C4">
        <w:rPr>
          <w:rFonts w:eastAsiaTheme="minorHAnsi"/>
          <w:b/>
          <w:color w:val="002060"/>
          <w:lang w:eastAsia="en-US"/>
        </w:rPr>
        <w:t>соответствуют наиболее благоприятному году подачи заявления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 </w:t>
      </w:r>
      <w:r w:rsidR="00327AC2" w:rsidRPr="00E205C4">
        <w:rPr>
          <w:rFonts w:eastAsiaTheme="minorHAnsi"/>
          <w:b/>
          <w:color w:val="002060"/>
          <w:lang w:eastAsia="en-US"/>
        </w:rPr>
        <w:t>о досрочном переходе</w:t>
      </w:r>
      <w:r w:rsidR="00E205C4" w:rsidRPr="00E205C4">
        <w:rPr>
          <w:rFonts w:eastAsiaTheme="minorHAnsi"/>
          <w:b/>
          <w:color w:val="002060"/>
          <w:lang w:eastAsia="en-US"/>
        </w:rPr>
        <w:t>.</w:t>
      </w:r>
    </w:p>
    <w:p w:rsidR="00E205C4" w:rsidRDefault="00E205C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200859" w:rsidRPr="00327AC2" w:rsidRDefault="002F025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Внимание!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Досрочный переход 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>может повлечь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потерю инвестиционного дохода, а при отрицательном резул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ьтате инвестирования –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327AC2" w:rsidRPr="00327AC2" w:rsidRDefault="00327AC2" w:rsidP="00327A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proofErr w:type="gramStart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В случае подачи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201</w:t>
      </w:r>
      <w:r w:rsidR="001A2CEF">
        <w:rPr>
          <w:rFonts w:eastAsiaTheme="minorHAnsi"/>
          <w:b/>
          <w:color w:val="FF0000"/>
          <w:sz w:val="28"/>
          <w:szCs w:val="28"/>
          <w:lang w:eastAsia="en-US"/>
        </w:rPr>
        <w:t>9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застрахованными лицами заявлений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о переходе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(пятилетние заявления), новому страховщику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202</w:t>
      </w:r>
      <w:r w:rsidR="001A2CEF">
        <w:rPr>
          <w:rFonts w:eastAsiaTheme="minorHAnsi"/>
          <w:b/>
          <w:color w:val="FF0000"/>
          <w:sz w:val="28"/>
          <w:szCs w:val="28"/>
          <w:lang w:eastAsia="en-US"/>
        </w:rPr>
        <w:t>4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sectPr w:rsidR="00327AC2" w:rsidRPr="00327AC2" w:rsidSect="00CC17F9">
      <w:pgSz w:w="16838" w:h="11906" w:orient="landscape" w:code="9"/>
      <w:pgMar w:top="567" w:right="567" w:bottom="284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95A"/>
    <w:multiLevelType w:val="hybridMultilevel"/>
    <w:tmpl w:val="95F090D8"/>
    <w:lvl w:ilvl="0" w:tplc="BF6C12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E397C"/>
    <w:rsid w:val="000F091E"/>
    <w:rsid w:val="00125E5C"/>
    <w:rsid w:val="00152904"/>
    <w:rsid w:val="00172342"/>
    <w:rsid w:val="001A2CEF"/>
    <w:rsid w:val="001A322E"/>
    <w:rsid w:val="001B0EE8"/>
    <w:rsid w:val="001D3615"/>
    <w:rsid w:val="001F14F3"/>
    <w:rsid w:val="001F5F54"/>
    <w:rsid w:val="00200859"/>
    <w:rsid w:val="00222591"/>
    <w:rsid w:val="0023060F"/>
    <w:rsid w:val="0027246B"/>
    <w:rsid w:val="002B30A7"/>
    <w:rsid w:val="002C09DF"/>
    <w:rsid w:val="002F0254"/>
    <w:rsid w:val="00317336"/>
    <w:rsid w:val="003279EE"/>
    <w:rsid w:val="00327AC2"/>
    <w:rsid w:val="00394C74"/>
    <w:rsid w:val="003D5740"/>
    <w:rsid w:val="0045217C"/>
    <w:rsid w:val="0048142D"/>
    <w:rsid w:val="004A417B"/>
    <w:rsid w:val="004C3AFF"/>
    <w:rsid w:val="00520240"/>
    <w:rsid w:val="005963FB"/>
    <w:rsid w:val="00632D87"/>
    <w:rsid w:val="00653F72"/>
    <w:rsid w:val="006876A6"/>
    <w:rsid w:val="0076342B"/>
    <w:rsid w:val="00777C18"/>
    <w:rsid w:val="007B6ABA"/>
    <w:rsid w:val="00801192"/>
    <w:rsid w:val="00801D50"/>
    <w:rsid w:val="00830C36"/>
    <w:rsid w:val="00860A89"/>
    <w:rsid w:val="00867CFF"/>
    <w:rsid w:val="008746F5"/>
    <w:rsid w:val="009A4DAE"/>
    <w:rsid w:val="009B3483"/>
    <w:rsid w:val="009E7EDA"/>
    <w:rsid w:val="00A10908"/>
    <w:rsid w:val="00A14752"/>
    <w:rsid w:val="00A25F47"/>
    <w:rsid w:val="00A441B2"/>
    <w:rsid w:val="00A91998"/>
    <w:rsid w:val="00A95FDF"/>
    <w:rsid w:val="00AB53EC"/>
    <w:rsid w:val="00AD0AC3"/>
    <w:rsid w:val="00AD16F0"/>
    <w:rsid w:val="00B41995"/>
    <w:rsid w:val="00B4565A"/>
    <w:rsid w:val="00B509FD"/>
    <w:rsid w:val="00B50ED1"/>
    <w:rsid w:val="00BE24F7"/>
    <w:rsid w:val="00C56294"/>
    <w:rsid w:val="00C67189"/>
    <w:rsid w:val="00C87601"/>
    <w:rsid w:val="00CC17F9"/>
    <w:rsid w:val="00CE4B88"/>
    <w:rsid w:val="00D02099"/>
    <w:rsid w:val="00D262CF"/>
    <w:rsid w:val="00D3524E"/>
    <w:rsid w:val="00D61A75"/>
    <w:rsid w:val="00D81DE0"/>
    <w:rsid w:val="00DF01AE"/>
    <w:rsid w:val="00DF1B33"/>
    <w:rsid w:val="00E205C4"/>
    <w:rsid w:val="00E22878"/>
    <w:rsid w:val="00E74115"/>
    <w:rsid w:val="00E971C0"/>
    <w:rsid w:val="00EB100C"/>
    <w:rsid w:val="00F11DAD"/>
    <w:rsid w:val="00F2531F"/>
    <w:rsid w:val="00F63B01"/>
    <w:rsid w:val="00F772A8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2ACF-DF36-4A0E-B1AA-F1D131B1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Карножицкая Наталья Михайловна</cp:lastModifiedBy>
  <cp:revision>10</cp:revision>
  <cp:lastPrinted>2017-06-02T07:18:00Z</cp:lastPrinted>
  <dcterms:created xsi:type="dcterms:W3CDTF">2019-02-20T13:00:00Z</dcterms:created>
  <dcterms:modified xsi:type="dcterms:W3CDTF">2019-02-25T11:40:00Z</dcterms:modified>
</cp:coreProperties>
</file>